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11" w:rsidRPr="004B0A52" w:rsidRDefault="0058136D" w:rsidP="005A6D46">
      <w:pPr>
        <w:pStyle w:val="NoSpacing"/>
        <w:rPr>
          <w:sz w:val="36"/>
        </w:rPr>
      </w:pPr>
      <w:r w:rsidRPr="004B0A52">
        <w:rPr>
          <w:sz w:val="36"/>
        </w:rPr>
        <w:t>Quick Guide to Self Service Payment Claims Section</w:t>
      </w:r>
      <w:r w:rsidR="000B30BF" w:rsidRPr="004B0A52">
        <w:rPr>
          <w:sz w:val="36"/>
        </w:rPr>
        <w:t xml:space="preserve"> and Payment Elements</w:t>
      </w:r>
    </w:p>
    <w:p w:rsidR="000B30BF" w:rsidRPr="0058136D" w:rsidRDefault="000B30BF" w:rsidP="000B30BF">
      <w:pPr>
        <w:pStyle w:val="NoSpacing"/>
      </w:pPr>
    </w:p>
    <w:p w:rsidR="0058136D" w:rsidRPr="005A6D46" w:rsidRDefault="000B30BF" w:rsidP="000B30BF">
      <w:pPr>
        <w:pStyle w:val="NoSpacing"/>
        <w:rPr>
          <w:sz w:val="24"/>
        </w:rPr>
      </w:pPr>
      <w:r w:rsidRPr="005A6D46">
        <w:rPr>
          <w:sz w:val="24"/>
        </w:rPr>
        <w:t xml:space="preserve">Below is a guide to </w:t>
      </w:r>
      <w:r w:rsidR="00EF425A" w:rsidRPr="005A6D46">
        <w:rPr>
          <w:sz w:val="24"/>
        </w:rPr>
        <w:t xml:space="preserve">the different payment claims sections and </w:t>
      </w:r>
      <w:r w:rsidRPr="005A6D46">
        <w:rPr>
          <w:sz w:val="24"/>
        </w:rPr>
        <w:t>what the different elements are used for on Oracle Self Service, the most commonly used elements are at top then the rest appear in numerical order.</w:t>
      </w:r>
    </w:p>
    <w:p w:rsidR="000B30BF" w:rsidRDefault="000B30BF" w:rsidP="000B30BF">
      <w:pPr>
        <w:pStyle w:val="NoSpacing"/>
      </w:pPr>
    </w:p>
    <w:p w:rsidR="000B30BF" w:rsidRPr="005A6D46" w:rsidRDefault="000B30BF" w:rsidP="000B30BF">
      <w:pPr>
        <w:pStyle w:val="NoSpacing"/>
        <w:rPr>
          <w:sz w:val="28"/>
        </w:rPr>
      </w:pPr>
      <w:r w:rsidRPr="005A6D46">
        <w:rPr>
          <w:sz w:val="28"/>
        </w:rPr>
        <w:t>Self Service Payment Claims Section</w:t>
      </w:r>
    </w:p>
    <w:p w:rsidR="000B30BF" w:rsidRDefault="000B30BF" w:rsidP="000B30BF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5"/>
        <w:gridCol w:w="6104"/>
      </w:tblGrid>
      <w:tr w:rsidR="000B30BF" w:rsidTr="004B0A52">
        <w:tc>
          <w:tcPr>
            <w:tcW w:w="1850" w:type="pct"/>
            <w:shd w:val="clear" w:color="auto" w:fill="55379B"/>
            <w:vAlign w:val="center"/>
          </w:tcPr>
          <w:p w:rsidR="000B30BF" w:rsidRPr="005A6D46" w:rsidRDefault="000B30BF" w:rsidP="005A6D46">
            <w:pPr>
              <w:rPr>
                <w:b/>
                <w:color w:val="FFFFFF" w:themeColor="background1"/>
                <w:sz w:val="28"/>
              </w:rPr>
            </w:pPr>
            <w:r w:rsidRPr="005A6D46">
              <w:rPr>
                <w:b/>
                <w:color w:val="FFFFFF" w:themeColor="background1"/>
                <w:sz w:val="28"/>
              </w:rPr>
              <w:t xml:space="preserve">Online Claims - </w:t>
            </w:r>
            <w:bookmarkStart w:id="0" w:name="_GoBack"/>
            <w:bookmarkEnd w:id="0"/>
            <w:r w:rsidRPr="005A6D46">
              <w:rPr>
                <w:b/>
                <w:color w:val="FFFFFF" w:themeColor="background1"/>
                <w:sz w:val="28"/>
              </w:rPr>
              <w:t>Casual/Fees/Additional Casual Work</w:t>
            </w:r>
          </w:p>
        </w:tc>
        <w:tc>
          <w:tcPr>
            <w:tcW w:w="3150" w:type="pct"/>
            <w:vAlign w:val="center"/>
          </w:tcPr>
          <w:p w:rsidR="000B30BF" w:rsidRPr="005A6D46" w:rsidRDefault="000B30BF" w:rsidP="005A6D46">
            <w:pPr>
              <w:rPr>
                <w:sz w:val="24"/>
              </w:rPr>
            </w:pPr>
            <w:r w:rsidRPr="005A6D46">
              <w:rPr>
                <w:sz w:val="24"/>
              </w:rPr>
              <w:t>Teachers use this section for claiming supply work or additional work on elements P336/P337.</w:t>
            </w:r>
          </w:p>
          <w:p w:rsidR="000B30BF" w:rsidRPr="005A6D46" w:rsidRDefault="00EF425A" w:rsidP="005A6D46">
            <w:pPr>
              <w:rPr>
                <w:sz w:val="24"/>
              </w:rPr>
            </w:pPr>
            <w:r w:rsidRPr="005A6D46">
              <w:rPr>
                <w:sz w:val="24"/>
              </w:rPr>
              <w:t xml:space="preserve">Non Teaching Staff </w:t>
            </w:r>
            <w:r w:rsidR="000B30BF" w:rsidRPr="005A6D46">
              <w:rPr>
                <w:sz w:val="24"/>
              </w:rPr>
              <w:t xml:space="preserve">use this section for claiming </w:t>
            </w:r>
            <w:r w:rsidR="000B30BF" w:rsidRPr="005A6D46">
              <w:rPr>
                <w:sz w:val="24"/>
                <w:u w:val="single"/>
              </w:rPr>
              <w:t>extra/additional</w:t>
            </w:r>
            <w:r w:rsidR="000B30BF" w:rsidRPr="005A6D46">
              <w:rPr>
                <w:sz w:val="24"/>
              </w:rPr>
              <w:t xml:space="preserve"> casual work in a different role.</w:t>
            </w:r>
          </w:p>
          <w:p w:rsidR="000B30BF" w:rsidRPr="005A6D46" w:rsidRDefault="000B30BF" w:rsidP="005A6D46">
            <w:pPr>
              <w:rPr>
                <w:sz w:val="24"/>
              </w:rPr>
            </w:pPr>
            <w:r w:rsidRPr="005A6D46">
              <w:rPr>
                <w:sz w:val="24"/>
              </w:rPr>
              <w:t>This section is also used for cash payments and management committee (School Club) employees.</w:t>
            </w:r>
          </w:p>
        </w:tc>
      </w:tr>
      <w:tr w:rsidR="000B30BF" w:rsidTr="004B0A52">
        <w:tc>
          <w:tcPr>
            <w:tcW w:w="1850" w:type="pct"/>
            <w:shd w:val="clear" w:color="auto" w:fill="55379B"/>
            <w:vAlign w:val="center"/>
          </w:tcPr>
          <w:p w:rsidR="000B30BF" w:rsidRPr="005A6D46" w:rsidRDefault="000B30BF" w:rsidP="005A6D46">
            <w:pPr>
              <w:rPr>
                <w:b/>
                <w:color w:val="FFFFFF" w:themeColor="background1"/>
                <w:sz w:val="28"/>
              </w:rPr>
            </w:pPr>
            <w:r w:rsidRPr="005A6D46">
              <w:rPr>
                <w:b/>
                <w:color w:val="FFFFFF" w:themeColor="background1"/>
                <w:sz w:val="28"/>
              </w:rPr>
              <w:t>Online Claims - Change of Contract Duties</w:t>
            </w:r>
          </w:p>
        </w:tc>
        <w:tc>
          <w:tcPr>
            <w:tcW w:w="3150" w:type="pct"/>
            <w:vAlign w:val="center"/>
          </w:tcPr>
          <w:p w:rsidR="000B30BF" w:rsidRPr="005A6D46" w:rsidRDefault="000B30BF" w:rsidP="005A6D46">
            <w:pPr>
              <w:rPr>
                <w:sz w:val="24"/>
              </w:rPr>
            </w:pPr>
            <w:r w:rsidRPr="005A6D46">
              <w:rPr>
                <w:sz w:val="24"/>
              </w:rPr>
              <w:t>This section is used for employees who have worked in a different role instead of their own.</w:t>
            </w:r>
          </w:p>
        </w:tc>
      </w:tr>
      <w:tr w:rsidR="000B30BF" w:rsidTr="004B0A52">
        <w:tc>
          <w:tcPr>
            <w:tcW w:w="1850" w:type="pct"/>
            <w:shd w:val="clear" w:color="auto" w:fill="55379B"/>
            <w:vAlign w:val="center"/>
          </w:tcPr>
          <w:p w:rsidR="000B30BF" w:rsidRPr="005A6D46" w:rsidRDefault="000B30BF" w:rsidP="005A6D46">
            <w:pPr>
              <w:rPr>
                <w:b/>
                <w:color w:val="FFFFFF" w:themeColor="background1"/>
                <w:sz w:val="28"/>
              </w:rPr>
            </w:pPr>
            <w:r w:rsidRPr="005A6D46">
              <w:rPr>
                <w:b/>
                <w:color w:val="FFFFFF" w:themeColor="background1"/>
                <w:sz w:val="28"/>
              </w:rPr>
              <w:t>Online Claims - Overtime/Extra Work at Own Job</w:t>
            </w:r>
          </w:p>
        </w:tc>
        <w:tc>
          <w:tcPr>
            <w:tcW w:w="3150" w:type="pct"/>
            <w:vAlign w:val="center"/>
          </w:tcPr>
          <w:p w:rsidR="000B30BF" w:rsidRPr="005A6D46" w:rsidRDefault="000B30BF" w:rsidP="005A6D46">
            <w:pPr>
              <w:rPr>
                <w:sz w:val="24"/>
              </w:rPr>
            </w:pPr>
            <w:r w:rsidRPr="005A6D46">
              <w:rPr>
                <w:sz w:val="24"/>
              </w:rPr>
              <w:t xml:space="preserve">This section is for </w:t>
            </w:r>
            <w:r w:rsidR="00EF425A" w:rsidRPr="005A6D46">
              <w:rPr>
                <w:sz w:val="24"/>
              </w:rPr>
              <w:t xml:space="preserve">Non Teaching Staff </w:t>
            </w:r>
            <w:r w:rsidRPr="005A6D46">
              <w:rPr>
                <w:b/>
                <w:sz w:val="24"/>
              </w:rPr>
              <w:t>only</w:t>
            </w:r>
            <w:r w:rsidRPr="005A6D46">
              <w:rPr>
                <w:sz w:val="24"/>
              </w:rPr>
              <w:t xml:space="preserve"> and is used for employees who have worked extra hours in their own job or have worked overtime (over 37 hours).</w:t>
            </w:r>
          </w:p>
        </w:tc>
      </w:tr>
      <w:tr w:rsidR="000B30BF" w:rsidTr="004B0A52">
        <w:tc>
          <w:tcPr>
            <w:tcW w:w="1850" w:type="pct"/>
            <w:shd w:val="clear" w:color="auto" w:fill="55379B"/>
            <w:vAlign w:val="center"/>
          </w:tcPr>
          <w:p w:rsidR="000B30BF" w:rsidRPr="005A6D46" w:rsidRDefault="000B30BF" w:rsidP="005A6D46">
            <w:pPr>
              <w:rPr>
                <w:b/>
                <w:color w:val="FFFFFF" w:themeColor="background1"/>
                <w:sz w:val="28"/>
              </w:rPr>
            </w:pPr>
            <w:r w:rsidRPr="005A6D46">
              <w:rPr>
                <w:b/>
                <w:color w:val="FFFFFF" w:themeColor="background1"/>
                <w:sz w:val="28"/>
              </w:rPr>
              <w:t>Online Claims - Standby</w:t>
            </w:r>
          </w:p>
        </w:tc>
        <w:tc>
          <w:tcPr>
            <w:tcW w:w="3150" w:type="pct"/>
            <w:vAlign w:val="center"/>
          </w:tcPr>
          <w:p w:rsidR="000B30BF" w:rsidRPr="005A6D46" w:rsidRDefault="00EF425A" w:rsidP="005A6D46">
            <w:pPr>
              <w:rPr>
                <w:sz w:val="24"/>
              </w:rPr>
            </w:pPr>
            <w:r w:rsidRPr="005A6D46">
              <w:rPr>
                <w:sz w:val="24"/>
              </w:rPr>
              <w:t>Used for claiming standby duties, n</w:t>
            </w:r>
            <w:r w:rsidR="000B30BF" w:rsidRPr="005A6D46">
              <w:rPr>
                <w:sz w:val="24"/>
              </w:rPr>
              <w:t>ot</w:t>
            </w:r>
            <w:r w:rsidRPr="005A6D46">
              <w:rPr>
                <w:sz w:val="24"/>
              </w:rPr>
              <w:t xml:space="preserve"> to be</w:t>
            </w:r>
            <w:r w:rsidR="000B30BF" w:rsidRPr="005A6D46">
              <w:rPr>
                <w:sz w:val="24"/>
              </w:rPr>
              <w:t xml:space="preserve"> used by School employees.</w:t>
            </w:r>
          </w:p>
        </w:tc>
      </w:tr>
    </w:tbl>
    <w:p w:rsidR="000B30BF" w:rsidRDefault="000B30BF" w:rsidP="000B30BF">
      <w:pPr>
        <w:pStyle w:val="NoSpacing"/>
      </w:pPr>
    </w:p>
    <w:p w:rsidR="000B30BF" w:rsidRPr="005A6D46" w:rsidRDefault="000B30BF" w:rsidP="000B30BF">
      <w:pPr>
        <w:pStyle w:val="NoSpacing"/>
        <w:rPr>
          <w:sz w:val="28"/>
        </w:rPr>
      </w:pPr>
      <w:r w:rsidRPr="005A6D46">
        <w:rPr>
          <w:sz w:val="28"/>
        </w:rPr>
        <w:t>Payment Elements Guidance</w:t>
      </w:r>
    </w:p>
    <w:p w:rsidR="000B30BF" w:rsidRPr="000B30BF" w:rsidRDefault="000B30BF" w:rsidP="000B30BF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2"/>
        <w:gridCol w:w="8447"/>
      </w:tblGrid>
      <w:tr w:rsidR="0058136D" w:rsidRPr="00EF425A" w:rsidTr="004B0A52">
        <w:trPr>
          <w:trHeight w:val="409"/>
        </w:trPr>
        <w:tc>
          <w:tcPr>
            <w:tcW w:w="641" w:type="pct"/>
            <w:shd w:val="clear" w:color="auto" w:fill="55379B"/>
          </w:tcPr>
          <w:p w:rsidR="0058136D" w:rsidRPr="005A6D46" w:rsidRDefault="000B30BF" w:rsidP="000B30BF">
            <w:pPr>
              <w:ind w:left="-709" w:firstLine="709"/>
              <w:rPr>
                <w:b/>
                <w:color w:val="FFFFFF" w:themeColor="background1"/>
                <w:sz w:val="28"/>
              </w:rPr>
            </w:pPr>
            <w:r w:rsidRPr="005A6D46">
              <w:rPr>
                <w:b/>
                <w:color w:val="FFFFFF" w:themeColor="background1"/>
                <w:sz w:val="28"/>
              </w:rPr>
              <w:t>Element</w:t>
            </w:r>
          </w:p>
        </w:tc>
        <w:tc>
          <w:tcPr>
            <w:tcW w:w="4359" w:type="pct"/>
            <w:shd w:val="clear" w:color="auto" w:fill="55379B"/>
          </w:tcPr>
          <w:p w:rsidR="0058136D" w:rsidRPr="005A6D46" w:rsidRDefault="0058136D" w:rsidP="00D6345F">
            <w:pPr>
              <w:rPr>
                <w:b/>
                <w:color w:val="FFFFFF" w:themeColor="background1"/>
                <w:sz w:val="28"/>
              </w:rPr>
            </w:pPr>
            <w:r w:rsidRPr="005A6D46">
              <w:rPr>
                <w:b/>
                <w:color w:val="FFFFFF" w:themeColor="background1"/>
                <w:sz w:val="28"/>
              </w:rPr>
              <w:t>Use</w:t>
            </w:r>
          </w:p>
        </w:tc>
      </w:tr>
      <w:tr w:rsidR="0058136D" w:rsidTr="004B0A52">
        <w:tc>
          <w:tcPr>
            <w:tcW w:w="641" w:type="pct"/>
          </w:tcPr>
          <w:p w:rsidR="0058136D" w:rsidRPr="005A6D46" w:rsidRDefault="0058136D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P301</w:t>
            </w:r>
          </w:p>
        </w:tc>
        <w:tc>
          <w:tcPr>
            <w:tcW w:w="4359" w:type="pct"/>
          </w:tcPr>
          <w:p w:rsidR="0058136D" w:rsidRPr="005A6D46" w:rsidRDefault="0058136D" w:rsidP="000B30B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 xml:space="preserve">Used for </w:t>
            </w:r>
            <w:r w:rsidR="000B30BF" w:rsidRPr="005A6D46">
              <w:rPr>
                <w:sz w:val="24"/>
                <w:szCs w:val="24"/>
              </w:rPr>
              <w:t>Non Teaching</w:t>
            </w:r>
            <w:r w:rsidRPr="005A6D46">
              <w:rPr>
                <w:sz w:val="24"/>
                <w:szCs w:val="24"/>
              </w:rPr>
              <w:t xml:space="preserve"> Staff to claim Basic pay when a role has been undertaken instead of their normal contracted role. This element is usually used in conjunction with a plus and minus claim</w:t>
            </w:r>
          </w:p>
        </w:tc>
      </w:tr>
      <w:tr w:rsidR="0058136D" w:rsidTr="004B0A52">
        <w:tc>
          <w:tcPr>
            <w:tcW w:w="641" w:type="pct"/>
          </w:tcPr>
          <w:p w:rsidR="0058136D" w:rsidRPr="005A6D46" w:rsidRDefault="0058136D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P336</w:t>
            </w:r>
          </w:p>
        </w:tc>
        <w:tc>
          <w:tcPr>
            <w:tcW w:w="4359" w:type="pct"/>
          </w:tcPr>
          <w:p w:rsidR="0058136D" w:rsidRPr="005A6D46" w:rsidRDefault="0058136D" w:rsidP="000B30B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Teacher's claiming hours</w:t>
            </w:r>
          </w:p>
        </w:tc>
      </w:tr>
      <w:tr w:rsidR="0058136D" w:rsidTr="004B0A52">
        <w:tc>
          <w:tcPr>
            <w:tcW w:w="641" w:type="pct"/>
          </w:tcPr>
          <w:p w:rsidR="0058136D" w:rsidRPr="005A6D46" w:rsidRDefault="0058136D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P337</w:t>
            </w:r>
          </w:p>
        </w:tc>
        <w:tc>
          <w:tcPr>
            <w:tcW w:w="4359" w:type="pct"/>
          </w:tcPr>
          <w:p w:rsidR="0058136D" w:rsidRPr="005A6D46" w:rsidRDefault="0058136D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</w:t>
            </w:r>
            <w:r w:rsidR="00E165A6" w:rsidRPr="005A6D46">
              <w:rPr>
                <w:sz w:val="24"/>
                <w:szCs w:val="24"/>
              </w:rPr>
              <w:t xml:space="preserve"> for</w:t>
            </w:r>
            <w:r w:rsidR="000B30BF" w:rsidRPr="005A6D46">
              <w:rPr>
                <w:sz w:val="24"/>
                <w:szCs w:val="24"/>
              </w:rPr>
              <w:t xml:space="preserve"> Teacher's claiming days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P419</w:t>
            </w:r>
          </w:p>
        </w:tc>
        <w:tc>
          <w:tcPr>
            <w:tcW w:w="4359" w:type="pct"/>
          </w:tcPr>
          <w:p w:rsidR="007D124B" w:rsidRPr="005A6D46" w:rsidRDefault="007D124B" w:rsidP="000A3160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claiming booster classes/ 1:1 tuition/Management Committee (School Clubs)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P440</w:t>
            </w:r>
          </w:p>
        </w:tc>
        <w:tc>
          <w:tcPr>
            <w:tcW w:w="4359" w:type="pct"/>
          </w:tcPr>
          <w:p w:rsidR="007D124B" w:rsidRPr="005A6D46" w:rsidRDefault="007D124B" w:rsidP="000B30B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claiming extra hours Mon – Fri up to 37 hours per week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P467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claiming invigilation, a total cash amount must be entered in the cash field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P499</w:t>
            </w:r>
          </w:p>
        </w:tc>
        <w:tc>
          <w:tcPr>
            <w:tcW w:w="4359" w:type="pct"/>
          </w:tcPr>
          <w:p w:rsidR="007D124B" w:rsidRPr="005A6D46" w:rsidRDefault="007D124B" w:rsidP="000B30B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to claim Senior Midday Supervisors work, a rate must be entered in the rate field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P532</w:t>
            </w:r>
          </w:p>
        </w:tc>
        <w:tc>
          <w:tcPr>
            <w:tcW w:w="4359" w:type="pct"/>
          </w:tcPr>
          <w:p w:rsidR="007D124B" w:rsidRPr="005A6D46" w:rsidRDefault="007D124B" w:rsidP="007D124B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claiming booster classes/ 1:1 tuition (Teachers Only)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P561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to claim holiday pay for hours worked in addition to contractual hours up to 37 hours per week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P319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as weekend enhancement (if worked as part of rota)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P323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who have worked a bank holiday as part of rota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P324</w:t>
            </w:r>
          </w:p>
        </w:tc>
        <w:tc>
          <w:tcPr>
            <w:tcW w:w="4359" w:type="pct"/>
          </w:tcPr>
          <w:p w:rsidR="007D124B" w:rsidRPr="005A6D46" w:rsidRDefault="007D124B" w:rsidP="00EA46C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 xml:space="preserve">Used for non teaching staff who have worked a bank holiday in addition to </w:t>
            </w:r>
            <w:r w:rsidRPr="005A6D46">
              <w:rPr>
                <w:sz w:val="24"/>
                <w:szCs w:val="24"/>
              </w:rPr>
              <w:lastRenderedPageBreak/>
              <w:t>rota/overtime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lastRenderedPageBreak/>
              <w:t>P332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Standby Payment  - Weekly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P333</w:t>
            </w:r>
          </w:p>
        </w:tc>
        <w:tc>
          <w:tcPr>
            <w:tcW w:w="4359" w:type="pct"/>
          </w:tcPr>
          <w:p w:rsidR="007D124B" w:rsidRPr="005A6D46" w:rsidRDefault="007D124B" w:rsidP="008C29C1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Standby Payment  - Monthly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P334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Standby Payment – Additional Bank Holiday Payment</w:t>
            </w:r>
          </w:p>
        </w:tc>
      </w:tr>
      <w:tr w:rsidR="007D124B" w:rsidTr="004B0A52">
        <w:tc>
          <w:tcPr>
            <w:tcW w:w="641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P335</w:t>
            </w:r>
          </w:p>
        </w:tc>
        <w:tc>
          <w:tcPr>
            <w:tcW w:w="4359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Lamp bonus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P338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Sessional Fee - Pensionable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P364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Weekend Days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P365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Weekday Nights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P366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Weekend Nights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P381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Split Duty</w:t>
            </w:r>
          </w:p>
        </w:tc>
      </w:tr>
      <w:tr w:rsidR="007D124B" w:rsidTr="004B0A52">
        <w:tc>
          <w:tcPr>
            <w:tcW w:w="641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P382</w:t>
            </w:r>
          </w:p>
        </w:tc>
        <w:tc>
          <w:tcPr>
            <w:tcW w:w="4359" w:type="pct"/>
            <w:shd w:val="clear" w:color="auto" w:fill="auto"/>
          </w:tcPr>
          <w:p w:rsidR="007D124B" w:rsidRPr="005A6D46" w:rsidRDefault="007D124B" w:rsidP="00E165A6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Sleeping In (Pensionable) if done as part of rota or contractual arrangement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P398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Young People's Service - Pensionable</w:t>
            </w:r>
          </w:p>
        </w:tc>
      </w:tr>
      <w:tr w:rsidR="007D124B" w:rsidTr="004B0A52">
        <w:tc>
          <w:tcPr>
            <w:tcW w:w="641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P399</w:t>
            </w:r>
          </w:p>
        </w:tc>
        <w:tc>
          <w:tcPr>
            <w:tcW w:w="4359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SEN (Enter rate)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P431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claiming extra hours Mon – Fri up to 37 hours per week in a higher graded post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P437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Bank Holiday – Days (Casual Employees)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P457</w:t>
            </w:r>
          </w:p>
        </w:tc>
        <w:tc>
          <w:tcPr>
            <w:tcW w:w="4359" w:type="pct"/>
          </w:tcPr>
          <w:p w:rsidR="007D124B" w:rsidRPr="005A6D46" w:rsidRDefault="007D124B" w:rsidP="00FE1EA7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Bank Holiday – Nights (Casual Employees)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P459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Clerk to Governors – Cash amount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P486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claiming extra hours Mon – Fri for work done over 37 hours (days)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P487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claiming on a Saturday or Sunday (days)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P488</w:t>
            </w:r>
          </w:p>
        </w:tc>
        <w:tc>
          <w:tcPr>
            <w:tcW w:w="4359" w:type="pct"/>
          </w:tcPr>
          <w:p w:rsidR="007D124B" w:rsidRPr="005A6D46" w:rsidRDefault="007D124B" w:rsidP="00EA46C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claiming extra hours Mon – Fri up to 37 hours per week (nights)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P489</w:t>
            </w:r>
          </w:p>
        </w:tc>
        <w:tc>
          <w:tcPr>
            <w:tcW w:w="4359" w:type="pct"/>
          </w:tcPr>
          <w:p w:rsidR="007D124B" w:rsidRPr="005A6D46" w:rsidRDefault="007D124B" w:rsidP="00EA46C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claiming extra hours Mon – Fri for work done over 37 hours (nights)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P490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Used for non teaching staff claiming on a Saturday or Sunday (nights)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P498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Split Duty (Casual Employees)</w:t>
            </w:r>
          </w:p>
        </w:tc>
      </w:tr>
      <w:tr w:rsidR="007D124B" w:rsidTr="004B0A52">
        <w:tc>
          <w:tcPr>
            <w:tcW w:w="641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P503</w:t>
            </w:r>
          </w:p>
        </w:tc>
        <w:tc>
          <w:tcPr>
            <w:tcW w:w="4359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Sleeping In (Non Pensionable) not part of rota or contractual arrangement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P508</w:t>
            </w:r>
          </w:p>
        </w:tc>
        <w:tc>
          <w:tcPr>
            <w:tcW w:w="4359" w:type="pct"/>
          </w:tcPr>
          <w:p w:rsidR="007D124B" w:rsidRPr="005A6D46" w:rsidRDefault="007D124B" w:rsidP="000B30B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Honorariums – Cash Amount (Payable to School Support Staff Only)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P538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Travel Expenses – Cash Amount – Taxable, NI able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P544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Young People's Service – Non Pensionable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P545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Sessional Fee – Non Pensionable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P551</w:t>
            </w:r>
          </w:p>
        </w:tc>
        <w:tc>
          <w:tcPr>
            <w:tcW w:w="4359" w:type="pct"/>
          </w:tcPr>
          <w:p w:rsidR="007D124B" w:rsidRPr="005A6D46" w:rsidRDefault="007D124B" w:rsidP="00FF7E3C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Lecture fee – Cash amount – Taxable, NI able</w:t>
            </w:r>
          </w:p>
        </w:tc>
      </w:tr>
      <w:tr w:rsidR="007D124B" w:rsidTr="004B0A52">
        <w:tc>
          <w:tcPr>
            <w:tcW w:w="641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P576</w:t>
            </w:r>
          </w:p>
        </w:tc>
        <w:tc>
          <w:tcPr>
            <w:tcW w:w="4359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Leave without pay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P614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Callout – Days, Mon – Fri up to 37 hours per week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P615</w:t>
            </w:r>
          </w:p>
        </w:tc>
        <w:tc>
          <w:tcPr>
            <w:tcW w:w="4359" w:type="pct"/>
          </w:tcPr>
          <w:p w:rsidR="007D124B" w:rsidRPr="005A6D46" w:rsidRDefault="007D124B" w:rsidP="008C29C1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Callout – Days, Mon – Fri over 37 hours per week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P616</w:t>
            </w:r>
          </w:p>
        </w:tc>
        <w:tc>
          <w:tcPr>
            <w:tcW w:w="4359" w:type="pct"/>
          </w:tcPr>
          <w:p w:rsidR="007D124B" w:rsidRPr="005A6D46" w:rsidRDefault="007D124B" w:rsidP="008C29C1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Callout – Days, Saturday or Sunday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P617</w:t>
            </w:r>
          </w:p>
        </w:tc>
        <w:tc>
          <w:tcPr>
            <w:tcW w:w="4359" w:type="pct"/>
          </w:tcPr>
          <w:p w:rsidR="007D124B" w:rsidRPr="005A6D46" w:rsidRDefault="007D124B" w:rsidP="008C29C1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Callout – Nights, Mon – Fri up to 37 hours per week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P618</w:t>
            </w:r>
          </w:p>
        </w:tc>
        <w:tc>
          <w:tcPr>
            <w:tcW w:w="4359" w:type="pct"/>
          </w:tcPr>
          <w:p w:rsidR="007D124B" w:rsidRPr="005A6D46" w:rsidRDefault="007D124B" w:rsidP="008C29C1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Callout – Nights, Mon – Fri over 37 hours per week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P619</w:t>
            </w:r>
          </w:p>
        </w:tc>
        <w:tc>
          <w:tcPr>
            <w:tcW w:w="4359" w:type="pct"/>
          </w:tcPr>
          <w:p w:rsidR="007D124B" w:rsidRPr="005A6D46" w:rsidRDefault="007D124B" w:rsidP="008C29C1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Callout – Nights, Saturday or Sunday</w:t>
            </w:r>
          </w:p>
        </w:tc>
      </w:tr>
      <w:tr w:rsidR="007D124B" w:rsidTr="004B0A52">
        <w:tc>
          <w:tcPr>
            <w:tcW w:w="641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P620</w:t>
            </w:r>
          </w:p>
        </w:tc>
        <w:tc>
          <w:tcPr>
            <w:tcW w:w="4359" w:type="pct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Callout – Bank Holidays</w:t>
            </w:r>
          </w:p>
        </w:tc>
      </w:tr>
      <w:tr w:rsidR="007D124B" w:rsidTr="004B0A52">
        <w:tc>
          <w:tcPr>
            <w:tcW w:w="641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P693</w:t>
            </w:r>
          </w:p>
        </w:tc>
        <w:tc>
          <w:tcPr>
            <w:tcW w:w="4359" w:type="pct"/>
            <w:shd w:val="clear" w:color="auto" w:fill="auto"/>
          </w:tcPr>
          <w:p w:rsidR="007D124B" w:rsidRPr="005A6D46" w:rsidRDefault="007D124B" w:rsidP="00D6345F">
            <w:pPr>
              <w:rPr>
                <w:sz w:val="24"/>
                <w:szCs w:val="24"/>
              </w:rPr>
            </w:pPr>
            <w:r w:rsidRPr="005A6D46">
              <w:rPr>
                <w:sz w:val="24"/>
                <w:szCs w:val="24"/>
              </w:rPr>
              <w:t>Personal Expenses</w:t>
            </w:r>
          </w:p>
        </w:tc>
      </w:tr>
    </w:tbl>
    <w:p w:rsidR="0058136D" w:rsidRDefault="0058136D"/>
    <w:p w:rsidR="004A0BE2" w:rsidRDefault="004A0BE2"/>
    <w:sectPr w:rsidR="004A0BE2" w:rsidSect="005A6D46">
      <w:headerReference w:type="default" r:id="rId7"/>
      <w:footerReference w:type="default" r:id="rId8"/>
      <w:pgSz w:w="11906" w:h="16838"/>
      <w:pgMar w:top="993" w:right="144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BF" w:rsidRDefault="000B30BF" w:rsidP="0058136D">
      <w:pPr>
        <w:spacing w:after="0" w:line="240" w:lineRule="auto"/>
      </w:pPr>
      <w:r>
        <w:separator/>
      </w:r>
    </w:p>
  </w:endnote>
  <w:endnote w:type="continuationSeparator" w:id="0">
    <w:p w:rsidR="000B30BF" w:rsidRDefault="000B30BF" w:rsidP="0058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6355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B0A52" w:rsidRDefault="004B0A52">
            <w:pPr>
              <w:pStyle w:val="Footer"/>
              <w:jc w:val="right"/>
            </w:pPr>
            <w:r w:rsidRPr="004B0A52">
              <w:rPr>
                <w:sz w:val="16"/>
                <w:szCs w:val="16"/>
              </w:rPr>
              <w:t xml:space="preserve">Page </w:t>
            </w:r>
            <w:r w:rsidRPr="004B0A52">
              <w:rPr>
                <w:b/>
                <w:bCs/>
                <w:sz w:val="16"/>
                <w:szCs w:val="16"/>
              </w:rPr>
              <w:fldChar w:fldCharType="begin"/>
            </w:r>
            <w:r w:rsidRPr="004B0A5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B0A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4B0A52">
              <w:rPr>
                <w:b/>
                <w:bCs/>
                <w:sz w:val="16"/>
                <w:szCs w:val="16"/>
              </w:rPr>
              <w:fldChar w:fldCharType="end"/>
            </w:r>
            <w:r w:rsidRPr="004B0A52">
              <w:rPr>
                <w:sz w:val="16"/>
                <w:szCs w:val="16"/>
              </w:rPr>
              <w:t xml:space="preserve"> of </w:t>
            </w:r>
            <w:r w:rsidRPr="004B0A52">
              <w:rPr>
                <w:b/>
                <w:bCs/>
                <w:sz w:val="16"/>
                <w:szCs w:val="16"/>
              </w:rPr>
              <w:fldChar w:fldCharType="begin"/>
            </w:r>
            <w:r w:rsidRPr="004B0A5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B0A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B0A5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B0A52" w:rsidRDefault="004B0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BF" w:rsidRDefault="000B30BF" w:rsidP="0058136D">
      <w:pPr>
        <w:spacing w:after="0" w:line="240" w:lineRule="auto"/>
      </w:pPr>
      <w:r>
        <w:separator/>
      </w:r>
    </w:p>
  </w:footnote>
  <w:footnote w:type="continuationSeparator" w:id="0">
    <w:p w:rsidR="000B30BF" w:rsidRDefault="000B30BF" w:rsidP="0058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52" w:rsidRDefault="004B0A52" w:rsidP="004B0A52">
    <w:pPr>
      <w:pStyle w:val="Header"/>
      <w:tabs>
        <w:tab w:val="left" w:pos="8745"/>
      </w:tabs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99A65" wp14:editId="19E4D74E">
          <wp:simplePos x="0" y="0"/>
          <wp:positionH relativeFrom="column">
            <wp:posOffset>-116205</wp:posOffset>
          </wp:positionH>
          <wp:positionV relativeFrom="paragraph">
            <wp:posOffset>-273685</wp:posOffset>
          </wp:positionV>
          <wp:extent cx="1998980" cy="600075"/>
          <wp:effectExtent l="0" t="0" r="1270" b="9525"/>
          <wp:wrapTight wrapText="bothSides">
            <wp:wrapPolygon edited="0">
              <wp:start x="0" y="0"/>
              <wp:lineTo x="0" y="21257"/>
              <wp:lineTo x="21408" y="21257"/>
              <wp:lineTo x="21408" y="0"/>
              <wp:lineTo x="0" y="0"/>
            </wp:wrapPolygon>
          </wp:wrapTight>
          <wp:docPr id="6" name="Picture 6" descr="C:\Users\jhardman010.AD.002\AppData\Local\Microsoft\Windows\Temporary Internet Files\Content.Outlook\20PJOMFT\Oracle Self 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ardman010.AD.002\AppData\Local\Microsoft\Windows\Temporary Internet Files\Content.Outlook\20PJOMFT\Oracle Self Serv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>BT Lancashire Services</w:t>
    </w:r>
  </w:p>
  <w:p w:rsidR="004B0A52" w:rsidRDefault="004B0A52" w:rsidP="004B0A52">
    <w:pPr>
      <w:pStyle w:val="Header"/>
      <w:pBdr>
        <w:bottom w:val="single" w:sz="4" w:space="1" w:color="auto"/>
      </w:pBdr>
      <w:tabs>
        <w:tab w:val="left" w:pos="8745"/>
      </w:tabs>
      <w:jc w:val="right"/>
    </w:pPr>
    <w:r w:rsidRPr="004B0A52">
      <w:rPr>
        <w:sz w:val="16"/>
      </w:rPr>
      <w:t>Quick Guide to Self Service Payment Claims Section and Payment Elements</w:t>
    </w:r>
  </w:p>
  <w:p w:rsidR="004B0A52" w:rsidRPr="0057525B" w:rsidRDefault="004B0A52" w:rsidP="004B0A52">
    <w:pPr>
      <w:pStyle w:val="Header"/>
      <w:pBdr>
        <w:bottom w:val="single" w:sz="4" w:space="1" w:color="auto"/>
      </w:pBdr>
      <w:tabs>
        <w:tab w:val="left" w:pos="8745"/>
      </w:tabs>
      <w:jc w:val="right"/>
      <w:rPr>
        <w:sz w:val="18"/>
      </w:rPr>
    </w:pPr>
  </w:p>
  <w:p w:rsidR="004B0A52" w:rsidRDefault="004B0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11"/>
    <w:rsid w:val="00007BCA"/>
    <w:rsid w:val="000B30BF"/>
    <w:rsid w:val="00182C1D"/>
    <w:rsid w:val="002A2945"/>
    <w:rsid w:val="00314216"/>
    <w:rsid w:val="003D121F"/>
    <w:rsid w:val="00406C8E"/>
    <w:rsid w:val="004A0BE2"/>
    <w:rsid w:val="004B0A52"/>
    <w:rsid w:val="004C1311"/>
    <w:rsid w:val="005222A0"/>
    <w:rsid w:val="0052799C"/>
    <w:rsid w:val="0058136D"/>
    <w:rsid w:val="005A6D46"/>
    <w:rsid w:val="005D60C1"/>
    <w:rsid w:val="006705A3"/>
    <w:rsid w:val="00685540"/>
    <w:rsid w:val="00707841"/>
    <w:rsid w:val="007D124B"/>
    <w:rsid w:val="008C29C1"/>
    <w:rsid w:val="00A32E64"/>
    <w:rsid w:val="00A33BD3"/>
    <w:rsid w:val="00A960BE"/>
    <w:rsid w:val="00AE199F"/>
    <w:rsid w:val="00B53601"/>
    <w:rsid w:val="00D6345F"/>
    <w:rsid w:val="00E165A6"/>
    <w:rsid w:val="00EA0E11"/>
    <w:rsid w:val="00EA46CF"/>
    <w:rsid w:val="00EF425A"/>
    <w:rsid w:val="00FE1EA7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41">
    <w:name w:val="x241"/>
    <w:basedOn w:val="DefaultParagraphFont"/>
    <w:rsid w:val="004A0BE2"/>
    <w:rPr>
      <w:rFonts w:ascii="Tahoma" w:hAnsi="Tahoma" w:cs="Tahoma" w:hint="default"/>
      <w:b/>
      <w:bCs/>
      <w:strike w:val="0"/>
      <w:dstrike w:val="0"/>
      <w:color w:val="3C3C3C"/>
      <w:sz w:val="20"/>
      <w:szCs w:val="20"/>
      <w:u w:val="none"/>
      <w:effect w:val="none"/>
      <w:bdr w:val="none" w:sz="0" w:space="0" w:color="auto" w:frame="1"/>
      <w:shd w:val="clear" w:color="auto" w:fill="CFE0F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81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136D"/>
  </w:style>
  <w:style w:type="paragraph" w:styleId="Footer">
    <w:name w:val="footer"/>
    <w:basedOn w:val="Normal"/>
    <w:link w:val="FooterChar"/>
    <w:uiPriority w:val="99"/>
    <w:unhideWhenUsed/>
    <w:rsid w:val="00581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6D"/>
  </w:style>
  <w:style w:type="paragraph" w:styleId="NoSpacing">
    <w:name w:val="No Spacing"/>
    <w:uiPriority w:val="1"/>
    <w:qFormat/>
    <w:rsid w:val="000B30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41">
    <w:name w:val="x241"/>
    <w:basedOn w:val="DefaultParagraphFont"/>
    <w:rsid w:val="004A0BE2"/>
    <w:rPr>
      <w:rFonts w:ascii="Tahoma" w:hAnsi="Tahoma" w:cs="Tahoma" w:hint="default"/>
      <w:b/>
      <w:bCs/>
      <w:strike w:val="0"/>
      <w:dstrike w:val="0"/>
      <w:color w:val="3C3C3C"/>
      <w:sz w:val="20"/>
      <w:szCs w:val="20"/>
      <w:u w:val="none"/>
      <w:effect w:val="none"/>
      <w:bdr w:val="none" w:sz="0" w:space="0" w:color="auto" w:frame="1"/>
      <w:shd w:val="clear" w:color="auto" w:fill="CFE0F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81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136D"/>
  </w:style>
  <w:style w:type="paragraph" w:styleId="Footer">
    <w:name w:val="footer"/>
    <w:basedOn w:val="Normal"/>
    <w:link w:val="FooterChar"/>
    <w:uiPriority w:val="99"/>
    <w:unhideWhenUsed/>
    <w:rsid w:val="00581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6D"/>
  </w:style>
  <w:style w:type="paragraph" w:styleId="NoSpacing">
    <w:name w:val="No Spacing"/>
    <w:uiPriority w:val="1"/>
    <w:qFormat/>
    <w:rsid w:val="000B3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MBradley001</dc:creator>
  <cp:lastModifiedBy>Hardman, James</cp:lastModifiedBy>
  <cp:revision>3</cp:revision>
  <dcterms:created xsi:type="dcterms:W3CDTF">2014-06-23T10:48:00Z</dcterms:created>
  <dcterms:modified xsi:type="dcterms:W3CDTF">2014-06-24T13:50:00Z</dcterms:modified>
</cp:coreProperties>
</file>